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 xml:space="preserve">REQUERIMENTO DE MATRÍCULA ALUNOS </w:t>
      </w:r>
      <w:r w:rsidR="005A5FE7">
        <w:t>ESPECIAIS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691C12">
        <w:rPr>
          <w:b/>
          <w:sz w:val="16"/>
        </w:rPr>
        <w:t>02</w:t>
      </w:r>
      <w:r>
        <w:rPr>
          <w:b/>
          <w:sz w:val="16"/>
        </w:rPr>
        <w:t>/2020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.............de....................................de</w:t>
      </w:r>
      <w:r>
        <w:rPr>
          <w:spacing w:val="-16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>
      <w:bookmarkStart w:id="0" w:name="_GoBack"/>
      <w:bookmarkEnd w:id="0"/>
    </w:p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24" w:rsidRDefault="00974C24">
      <w:r>
        <w:separator/>
      </w:r>
    </w:p>
  </w:endnote>
  <w:endnote w:type="continuationSeparator" w:id="0">
    <w:p w:rsidR="00974C24" w:rsidRDefault="0097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 xml:space="preserve">Programa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24" w:rsidRDefault="00974C24">
      <w:r>
        <w:separator/>
      </w:r>
    </w:p>
  </w:footnote>
  <w:footnote w:type="continuationSeparator" w:id="0">
    <w:p w:rsidR="00974C24" w:rsidRDefault="0097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1A0402"/>
    <w:rsid w:val="005A5FE7"/>
    <w:rsid w:val="00691C12"/>
    <w:rsid w:val="00974C24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95754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3</cp:revision>
  <dcterms:created xsi:type="dcterms:W3CDTF">2020-12-07T14:09:00Z</dcterms:created>
  <dcterms:modified xsi:type="dcterms:W3CDTF">2020-12-18T14:58:00Z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